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COMPARABLE LONG-TERM PROGNOSIS AFTER THE CHANGE FROM ANGIOTENSIN-CONVERTING ENZYME INHIBITOR TO ANGIOTENSIN RECEPTOR BLOCKER IN ACUTE MYOCARDIAL INFARCTION   </w:t>
      </w:r>
    </w:p>
    <w:p w:rsidR="00B921ED" w:rsidRDefault="00B921ED" w:rsidP="00A70D4F">
      <w:pPr>
        <w:widowControl w:val="0"/>
        <w:autoSpaceDE w:val="0"/>
        <w:autoSpaceDN w:val="0"/>
        <w:adjustRightInd w:val="0"/>
      </w:pPr>
      <w:r w:rsidRPr="00A70D4F">
        <w:rPr>
          <w:b/>
          <w:bCs/>
          <w:u w:val="single"/>
        </w:rPr>
        <w:t>H</w:t>
      </w:r>
      <w:r w:rsidR="00A70D4F" w:rsidRPr="00A70D4F">
        <w:rPr>
          <w:b/>
          <w:bCs/>
          <w:u w:val="single"/>
        </w:rPr>
        <w:t>.</w:t>
      </w:r>
      <w:r w:rsidRPr="00A70D4F">
        <w:rPr>
          <w:b/>
          <w:bCs/>
          <w:u w:val="single"/>
        </w:rPr>
        <w:t>Y</w:t>
      </w:r>
      <w:r w:rsidR="00A70D4F" w:rsidRPr="00A70D4F">
        <w:rPr>
          <w:b/>
          <w:bCs/>
          <w:u w:val="single"/>
        </w:rPr>
        <w:t>.</w:t>
      </w:r>
      <w:r w:rsidRPr="00A70D4F">
        <w:rPr>
          <w:b/>
          <w:bCs/>
          <w:u w:val="single"/>
        </w:rPr>
        <w:t xml:space="preserve"> Kim</w:t>
      </w:r>
      <w:r>
        <w:t>, S</w:t>
      </w:r>
      <w:r w:rsidR="00A70D4F">
        <w:t>.</w:t>
      </w:r>
      <w:r>
        <w:t>M</w:t>
      </w:r>
      <w:r w:rsidR="00A70D4F">
        <w:t>.</w:t>
      </w:r>
      <w:r>
        <w:t xml:space="preserve"> Lim, K</w:t>
      </w:r>
      <w:r w:rsidR="00A70D4F">
        <w:t>.</w:t>
      </w:r>
      <w:r>
        <w:t>Y</w:t>
      </w:r>
      <w:r w:rsidR="00A70D4F">
        <w:t>.</w:t>
      </w:r>
      <w:r>
        <w:t xml:space="preserve"> Chang, W</w:t>
      </w:r>
      <w:r w:rsidR="00A70D4F">
        <w:t>.</w:t>
      </w:r>
      <w:r>
        <w:t>S</w:t>
      </w:r>
      <w:r w:rsidR="00A70D4F">
        <w:t>.</w:t>
      </w:r>
      <w:r>
        <w:t xml:space="preserve"> Chung, K</w:t>
      </w:r>
      <w:r w:rsidR="00A70D4F">
        <w:t>.</w:t>
      </w:r>
      <w:r>
        <w:t>B</w:t>
      </w:r>
      <w:r w:rsidR="00A70D4F">
        <w:t>.</w:t>
      </w:r>
      <w:r>
        <w:t xml:space="preserve"> </w:t>
      </w:r>
      <w:proofErr w:type="spellStart"/>
      <w:r>
        <w:t>Seung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The Catholic University of Korea, Seoul, Korea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70D4F" w:rsidRDefault="00B921ED">
      <w:pPr>
        <w:widowControl w:val="0"/>
        <w:autoSpaceDE w:val="0"/>
        <w:autoSpaceDN w:val="0"/>
        <w:adjustRightInd w:val="0"/>
        <w:jc w:val="both"/>
      </w:pPr>
      <w:r w:rsidRPr="00A70D4F">
        <w:rPr>
          <w:i/>
          <w:iCs/>
        </w:rPr>
        <w:t>Background</w:t>
      </w:r>
      <w:r>
        <w:t>: Current guidelines recommend that angiotensin-converting enzyme inhibitor (</w:t>
      </w:r>
      <w:proofErr w:type="spellStart"/>
      <w:r>
        <w:t>ACEi</w:t>
      </w:r>
      <w:proofErr w:type="spellEnd"/>
      <w:r>
        <w:t xml:space="preserve">) should be used as the first choice for post myocardial infarction (MI) treatment and angiotensin II receptor blocker (ARB) should be considered in patients who are intolerant to </w:t>
      </w:r>
      <w:proofErr w:type="spellStart"/>
      <w:r>
        <w:t>ACEi</w:t>
      </w:r>
      <w:proofErr w:type="spellEnd"/>
      <w:r>
        <w:t xml:space="preserve"> treatment. Although 2 large randomized clinical trials were published on the early 2000s, there have been a little data about head-to-head comparisons at percutaneous coronary intervention (PCI) era.</w:t>
      </w:r>
    </w:p>
    <w:p w:rsidR="00A70D4F" w:rsidRDefault="00B921ED">
      <w:pPr>
        <w:widowControl w:val="0"/>
        <w:autoSpaceDE w:val="0"/>
        <w:autoSpaceDN w:val="0"/>
        <w:adjustRightInd w:val="0"/>
        <w:jc w:val="both"/>
      </w:pPr>
      <w:r w:rsidRPr="00A70D4F">
        <w:rPr>
          <w:i/>
          <w:iCs/>
        </w:rPr>
        <w:t>Methods</w:t>
      </w:r>
      <w:r>
        <w:t>: We consecutively enrolled acute myocardial infarction (AMI) patients who underwent PCI in the COREA-AMI (</w:t>
      </w:r>
      <w:proofErr w:type="spellStart"/>
      <w:r>
        <w:t>CardiOvascular</w:t>
      </w:r>
      <w:proofErr w:type="spellEnd"/>
      <w:r>
        <w:t xml:space="preserve"> Risk and </w:t>
      </w:r>
      <w:proofErr w:type="spellStart"/>
      <w:r>
        <w:t>idEntificAtion</w:t>
      </w:r>
      <w:proofErr w:type="spellEnd"/>
      <w:r>
        <w:t xml:space="preserve"> of potential high-risk population in AMI) registry including nine major university hospitals throughout South Korea from January 2004 to December 2009. The primary endpoint was the incidence rates of all-cause death and landmark analysis for 1-year post-MI survivors were performed.</w:t>
      </w:r>
    </w:p>
    <w:p w:rsidR="00A70D4F" w:rsidRDefault="00B921ED">
      <w:pPr>
        <w:widowControl w:val="0"/>
        <w:autoSpaceDE w:val="0"/>
        <w:autoSpaceDN w:val="0"/>
        <w:adjustRightInd w:val="0"/>
        <w:jc w:val="both"/>
      </w:pPr>
      <w:r w:rsidRPr="00A70D4F">
        <w:rPr>
          <w:i/>
          <w:iCs/>
        </w:rPr>
        <w:t>Results</w:t>
      </w:r>
      <w:r>
        <w:t xml:space="preserve">: Of 4,748 AMI patients, 2,405 and 1,320 patients were treated with </w:t>
      </w:r>
      <w:proofErr w:type="spellStart"/>
      <w:r>
        <w:t>ACEi</w:t>
      </w:r>
      <w:proofErr w:type="spellEnd"/>
      <w:r>
        <w:t xml:space="preserve"> and ARB at discharge, respectively. Among 4,200 patients who were alive at 1 year stably without non-fatal MI or stroke, 799 and 795 patients have continued to take </w:t>
      </w:r>
      <w:proofErr w:type="spellStart"/>
      <w:r>
        <w:t>ACEi</w:t>
      </w:r>
      <w:proofErr w:type="spellEnd"/>
      <w:r>
        <w:t xml:space="preserve"> (Group A) or ARB (Group B), and 798 patients have changed from </w:t>
      </w:r>
      <w:proofErr w:type="spellStart"/>
      <w:r>
        <w:t>ACEi</w:t>
      </w:r>
      <w:proofErr w:type="spellEnd"/>
      <w:r>
        <w:t xml:space="preserve"> to ARB (Group C). Median follow-up duration was 43.8 months (interquartile range 29.8 to 60.5 months). Within the first year, survival in ARB group (45 death, 3.4%) was not different with </w:t>
      </w:r>
      <w:proofErr w:type="spellStart"/>
      <w:r>
        <w:t>ACEi</w:t>
      </w:r>
      <w:proofErr w:type="spellEnd"/>
      <w:r>
        <w:t xml:space="preserve"> group (69 death, 2.9%) (p=0.37). After 1 year from index PCI, all-cause death were 4.3% in group A, 5.8% group B (p=0.06 vs. group A), and 4.9% in group C (p=0.57 vs. group A). Overall findings were consistent in propensity matched population.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A70D4F">
        <w:rPr>
          <w:i/>
          <w:iCs/>
        </w:rPr>
        <w:t>Conclusion</w:t>
      </w:r>
      <w:r>
        <w:t xml:space="preserve">: 1-year mortality of ARB was similar with </w:t>
      </w:r>
      <w:proofErr w:type="spellStart"/>
      <w:r>
        <w:t>ACEi</w:t>
      </w:r>
      <w:proofErr w:type="spellEnd"/>
      <w:r>
        <w:t xml:space="preserve"> in patients with AMI undergoing PCI. In addition, to switch from </w:t>
      </w:r>
      <w:proofErr w:type="spellStart"/>
      <w:r>
        <w:t>ACEi</w:t>
      </w:r>
      <w:proofErr w:type="spellEnd"/>
      <w:r>
        <w:t xml:space="preserve"> to ARB or to continue taking ARB at 1 year showed comparable long-term survival with </w:t>
      </w:r>
      <w:proofErr w:type="spellStart"/>
      <w:r>
        <w:t>ACEi</w:t>
      </w:r>
      <w:proofErr w:type="spellEnd"/>
      <w:r>
        <w:t xml:space="preserve"> in the stable post-MI 1-year survivors.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5F" w:rsidRDefault="00BD255F" w:rsidP="00A70D4F">
      <w:r>
        <w:separator/>
      </w:r>
    </w:p>
  </w:endnote>
  <w:endnote w:type="continuationSeparator" w:id="0">
    <w:p w:rsidR="00BD255F" w:rsidRDefault="00BD255F" w:rsidP="00A7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5F" w:rsidRDefault="00BD255F" w:rsidP="00A70D4F">
      <w:r>
        <w:separator/>
      </w:r>
    </w:p>
  </w:footnote>
  <w:footnote w:type="continuationSeparator" w:id="0">
    <w:p w:rsidR="00BD255F" w:rsidRDefault="00BD255F" w:rsidP="00A7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4F" w:rsidRDefault="00A70D4F" w:rsidP="00A70D4F">
    <w:pPr>
      <w:pStyle w:val="Header"/>
    </w:pPr>
    <w:r>
      <w:t xml:space="preserve">1401    Poster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ACE inhibitors and Angiotensin - II receptor blockers</w:t>
    </w:r>
  </w:p>
  <w:p w:rsidR="00A70D4F" w:rsidRDefault="00A70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722E28"/>
    <w:rsid w:val="00A70D4F"/>
    <w:rsid w:val="00B921ED"/>
    <w:rsid w:val="00B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C3C0E8-01BB-4E4E-AFAA-25356FC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2016-04-12T08:23:00Z</dcterms:created>
  <dcterms:modified xsi:type="dcterms:W3CDTF">2016-04-12T08:28:00Z</dcterms:modified>
</cp:coreProperties>
</file>